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AD4" w:rsidRDefault="00753AD4">
      <w:pPr>
        <w:rPr>
          <w:b/>
        </w:rPr>
      </w:pPr>
      <w:r w:rsidRPr="00753AD4">
        <w:rPr>
          <w:b/>
        </w:rPr>
        <w:t>Land, ocean and water for climate action (HORIZON-CL6-2021-CLIMATE-01)</w:t>
      </w:r>
    </w:p>
    <w:p w:rsidR="00753AD4" w:rsidRPr="00753AD4" w:rsidRDefault="00753AD4">
      <w:pPr>
        <w:rPr>
          <w:b/>
        </w:rPr>
      </w:pPr>
    </w:p>
    <w:tbl>
      <w:tblPr>
        <w:tblW w:w="0" w:type="auto"/>
        <w:tblBorders>
          <w:top w:val="nil"/>
          <w:left w:val="nil"/>
          <w:bottom w:val="nil"/>
          <w:right w:val="nil"/>
        </w:tblBorders>
        <w:tblLayout w:type="fixed"/>
        <w:tblLook w:val="0000" w:firstRow="0" w:lastRow="0" w:firstColumn="0" w:lastColumn="0" w:noHBand="0" w:noVBand="0"/>
      </w:tblPr>
      <w:tblGrid>
        <w:gridCol w:w="4535"/>
        <w:gridCol w:w="4535"/>
      </w:tblGrid>
      <w:tr w:rsidR="00D10852" w:rsidRPr="00D10852">
        <w:trPr>
          <w:trHeight w:val="107"/>
        </w:trPr>
        <w:tc>
          <w:tcPr>
            <w:tcW w:w="9070" w:type="dxa"/>
            <w:gridSpan w:val="2"/>
          </w:tcPr>
          <w:p w:rsidR="00D10852" w:rsidRPr="00D10852" w:rsidRDefault="00D10852" w:rsidP="00D10852">
            <w:r w:rsidRPr="00D10852">
              <w:rPr>
                <w:b/>
                <w:bCs/>
              </w:rPr>
              <w:t xml:space="preserve">Resilient livestock farming systems under climate change Specific conditions </w:t>
            </w:r>
          </w:p>
        </w:tc>
      </w:tr>
      <w:tr w:rsidR="00D10852" w:rsidRPr="00D10852">
        <w:trPr>
          <w:trHeight w:val="585"/>
        </w:trPr>
        <w:tc>
          <w:tcPr>
            <w:tcW w:w="4535" w:type="dxa"/>
          </w:tcPr>
          <w:p w:rsidR="00D10852" w:rsidRPr="00D10852" w:rsidRDefault="00D10852" w:rsidP="00D10852">
            <w:r w:rsidRPr="00D10852">
              <w:rPr>
                <w:i/>
                <w:iCs/>
              </w:rPr>
              <w:t xml:space="preserve">Expected EU contribution per project </w:t>
            </w:r>
          </w:p>
        </w:tc>
        <w:tc>
          <w:tcPr>
            <w:tcW w:w="4535" w:type="dxa"/>
          </w:tcPr>
          <w:p w:rsidR="00D10852" w:rsidRPr="00D10852" w:rsidRDefault="00D10852" w:rsidP="00D10852">
            <w:r w:rsidRPr="00D10852">
              <w:t xml:space="preserve">The EU estimates that an EU contribution of around </w:t>
            </w:r>
            <w:r w:rsidRPr="00C34BB9">
              <w:rPr>
                <w:highlight w:val="magenta"/>
              </w:rPr>
              <w:t>EUR 12.00 million</w:t>
            </w:r>
            <w:r w:rsidRPr="00D10852">
              <w:t xml:space="preserve"> would allow these outcomes to be addressed appropriately. Nonetheless, this does not preclude submission and selection of a proposal requesting different amounts. </w:t>
            </w:r>
          </w:p>
        </w:tc>
      </w:tr>
      <w:tr w:rsidR="00D10852" w:rsidRPr="00D10852">
        <w:trPr>
          <w:trHeight w:val="109"/>
        </w:trPr>
        <w:tc>
          <w:tcPr>
            <w:tcW w:w="4535" w:type="dxa"/>
          </w:tcPr>
          <w:p w:rsidR="00C34BB9" w:rsidRDefault="00C34BB9" w:rsidP="00D10852">
            <w:pPr>
              <w:rPr>
                <w:i/>
                <w:iCs/>
                <w:lang w:val="en-US"/>
              </w:rPr>
            </w:pPr>
          </w:p>
          <w:p w:rsidR="00D10852" w:rsidRPr="00D10852" w:rsidRDefault="00D10852" w:rsidP="00D10852">
            <w:r w:rsidRPr="00D10852">
              <w:rPr>
                <w:i/>
                <w:iCs/>
              </w:rPr>
              <w:t xml:space="preserve">Indicative budget </w:t>
            </w:r>
          </w:p>
        </w:tc>
        <w:tc>
          <w:tcPr>
            <w:tcW w:w="4535" w:type="dxa"/>
          </w:tcPr>
          <w:p w:rsidR="00C34BB9" w:rsidRDefault="00C34BB9" w:rsidP="00D10852">
            <w:pPr>
              <w:rPr>
                <w:lang w:val="en-US"/>
              </w:rPr>
            </w:pPr>
          </w:p>
          <w:p w:rsidR="00D10852" w:rsidRPr="00D10852" w:rsidRDefault="00D10852" w:rsidP="00D10852">
            <w:r w:rsidRPr="00D10852">
              <w:t xml:space="preserve">The total indicative budget for the topic is </w:t>
            </w:r>
            <w:r w:rsidRPr="00C34BB9">
              <w:rPr>
                <w:highlight w:val="magenta"/>
              </w:rPr>
              <w:t>EUR 12.00 million</w:t>
            </w:r>
            <w:r w:rsidRPr="00D10852">
              <w:t xml:space="preserve">. </w:t>
            </w:r>
          </w:p>
        </w:tc>
      </w:tr>
      <w:tr w:rsidR="00D10852" w:rsidRPr="00D10852">
        <w:trPr>
          <w:trHeight w:val="109"/>
        </w:trPr>
        <w:tc>
          <w:tcPr>
            <w:tcW w:w="4535" w:type="dxa"/>
          </w:tcPr>
          <w:p w:rsidR="00C34BB9" w:rsidRDefault="00C34BB9" w:rsidP="00D10852">
            <w:pPr>
              <w:rPr>
                <w:i/>
                <w:iCs/>
                <w:lang w:val="en-US"/>
              </w:rPr>
            </w:pPr>
            <w:r>
              <w:rPr>
                <w:noProof/>
                <w:lang w:val="de-AT" w:eastAsia="de-AT"/>
              </w:rPr>
              <mc:AlternateContent>
                <mc:Choice Requires="wps">
                  <w:drawing>
                    <wp:anchor distT="0" distB="0" distL="114300" distR="114300" simplePos="0" relativeHeight="251670528" behindDoc="0" locked="0" layoutInCell="1" allowOverlap="1" wp14:anchorId="685B88A8" wp14:editId="1A967D8F">
                      <wp:simplePos x="0" y="0"/>
                      <wp:positionH relativeFrom="column">
                        <wp:posOffset>2466975</wp:posOffset>
                      </wp:positionH>
                      <wp:positionV relativeFrom="paragraph">
                        <wp:posOffset>118110</wp:posOffset>
                      </wp:positionV>
                      <wp:extent cx="2752725" cy="285750"/>
                      <wp:effectExtent l="0" t="0" r="28575" b="19050"/>
                      <wp:wrapNone/>
                      <wp:docPr id="5" name="Oval 5"/>
                      <wp:cNvGraphicFramePr/>
                      <a:graphic xmlns:a="http://schemas.openxmlformats.org/drawingml/2006/main">
                        <a:graphicData uri="http://schemas.microsoft.com/office/word/2010/wordprocessingShape">
                          <wps:wsp>
                            <wps:cNvSpPr/>
                            <wps:spPr>
                              <a:xfrm>
                                <a:off x="0" y="0"/>
                                <a:ext cx="2752725" cy="285750"/>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4FD95592" id="Oval 5" o:spid="_x0000_s1026" style="position:absolute;margin-left:194.25pt;margin-top:9.3pt;width:216.75pt;height:2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" filled="f" strokecolor="#243f60 [1604]" strokeweight="2pt"/>
                  </w:pict>
                </mc:Fallback>
              </mc:AlternateContent>
            </w:r>
          </w:p>
          <w:p w:rsidR="00D10852" w:rsidRPr="00D10852" w:rsidRDefault="00D10852" w:rsidP="00D10852">
            <w:r w:rsidRPr="00D10852">
              <w:rPr>
                <w:i/>
                <w:iCs/>
              </w:rPr>
              <w:t xml:space="preserve">Type of Action </w:t>
            </w:r>
          </w:p>
        </w:tc>
        <w:tc>
          <w:tcPr>
            <w:tcW w:w="4535" w:type="dxa"/>
          </w:tcPr>
          <w:p w:rsidR="00C34BB9" w:rsidRDefault="00C34BB9" w:rsidP="00D10852">
            <w:pPr>
              <w:rPr>
                <w:lang w:val="en-US"/>
              </w:rPr>
            </w:pPr>
          </w:p>
          <w:p w:rsidR="00D10852" w:rsidRPr="00D10852" w:rsidRDefault="00D10852" w:rsidP="00D10852">
            <w:r w:rsidRPr="00D10852">
              <w:t xml:space="preserve">Research and Innovation Actions </w:t>
            </w:r>
          </w:p>
        </w:tc>
      </w:tr>
    </w:tbl>
    <w:p w:rsidR="00987D5F" w:rsidRDefault="00753AD4">
      <w:pPr>
        <w:rPr>
          <w:lang w:val="en-US"/>
        </w:rPr>
      </w:pPr>
    </w:p>
    <w:p w:rsidR="00C34BB9" w:rsidRDefault="00C34BB9" w:rsidP="0066238E">
      <w:pPr>
        <w:jc w:val="center"/>
        <w:rPr>
          <w:b/>
          <w:u w:val="single"/>
          <w:lang w:val="en-US"/>
        </w:rPr>
      </w:pPr>
      <w:bookmarkStart w:id="0" w:name="_GoBack"/>
      <w:bookmarkEnd w:id="0"/>
    </w:p>
    <w:p w:rsidR="00C34BB9" w:rsidRDefault="00C34BB9" w:rsidP="0066238E">
      <w:pPr>
        <w:jc w:val="center"/>
        <w:rPr>
          <w:b/>
          <w:u w:val="single"/>
          <w:lang w:val="en-US"/>
        </w:rPr>
      </w:pPr>
    </w:p>
    <w:p w:rsidR="00D10852" w:rsidRPr="0066238E" w:rsidRDefault="002B5AF6" w:rsidP="0066238E">
      <w:pPr>
        <w:jc w:val="center"/>
        <w:rPr>
          <w:b/>
          <w:lang w:val="en-US"/>
        </w:rPr>
      </w:pPr>
      <w:r w:rsidRPr="002B5AF6">
        <w:rPr>
          <w:b/>
          <w:u w:val="single"/>
          <w:lang w:val="en-US"/>
        </w:rPr>
        <w:t>Color code:</w:t>
      </w:r>
      <w:r>
        <w:rPr>
          <w:b/>
          <w:lang w:val="en-US"/>
        </w:rPr>
        <w:tab/>
      </w:r>
      <w:r w:rsidRPr="002B5AF6">
        <w:rPr>
          <w:b/>
          <w:lang w:val="en-US"/>
        </w:rPr>
        <w:t xml:space="preserve"> </w:t>
      </w:r>
      <w:r w:rsidR="0066238E" w:rsidRPr="0066238E">
        <w:rPr>
          <w:b/>
          <w:highlight w:val="yellow"/>
          <w:lang w:val="en-US"/>
        </w:rPr>
        <w:t>WORK</w:t>
      </w:r>
      <w:r>
        <w:rPr>
          <w:b/>
          <w:lang w:val="en-US"/>
        </w:rPr>
        <w:tab/>
      </w:r>
      <w:r w:rsidR="0066238E" w:rsidRPr="0066238E">
        <w:rPr>
          <w:b/>
          <w:lang w:val="en-US"/>
        </w:rPr>
        <w:tab/>
      </w:r>
      <w:r w:rsidR="0066238E" w:rsidRPr="0066238E">
        <w:rPr>
          <w:b/>
          <w:highlight w:val="green"/>
          <w:lang w:val="en-US"/>
        </w:rPr>
        <w:t>CONSORTIUM</w:t>
      </w:r>
      <w:r w:rsidR="0066238E" w:rsidRPr="0066238E">
        <w:rPr>
          <w:b/>
          <w:lang w:val="en-US"/>
        </w:rPr>
        <w:tab/>
      </w:r>
      <w:r w:rsidRPr="002B5AF6">
        <w:rPr>
          <w:b/>
          <w:highlight w:val="cyan"/>
          <w:lang w:val="en-US"/>
        </w:rPr>
        <w:t>OUTCOMES/</w:t>
      </w:r>
      <w:r w:rsidR="0066238E" w:rsidRPr="002B5AF6">
        <w:rPr>
          <w:b/>
          <w:highlight w:val="cyan"/>
          <w:lang w:val="en-US"/>
        </w:rPr>
        <w:t>IMPACT</w:t>
      </w:r>
    </w:p>
    <w:p w:rsidR="0066238E" w:rsidRDefault="0066238E" w:rsidP="00D10852">
      <w:pPr>
        <w:rPr>
          <w:b/>
          <w:lang w:val="en-US"/>
        </w:rPr>
      </w:pPr>
    </w:p>
    <w:p w:rsidR="0066238E" w:rsidRDefault="0066238E" w:rsidP="00D10852">
      <w:pPr>
        <w:rPr>
          <w:b/>
          <w:lang w:val="en-US"/>
        </w:rPr>
      </w:pPr>
    </w:p>
    <w:p w:rsidR="00D10852" w:rsidRPr="00D10852" w:rsidRDefault="00D10852" w:rsidP="00D10852">
      <w:r w:rsidRPr="00D10852">
        <w:rPr>
          <w:b/>
        </w:rPr>
        <w:t>Expected Outcome</w:t>
      </w:r>
      <w:r w:rsidRPr="00D10852">
        <w:t xml:space="preserve">: A successful proposal will </w:t>
      </w:r>
      <w:r w:rsidRPr="0066238E">
        <w:rPr>
          <w:highlight w:val="cyan"/>
        </w:rPr>
        <w:t>contribute to the European Green Deal</w:t>
      </w:r>
      <w:r w:rsidRPr="00D10852">
        <w:t xml:space="preserve"> and international objectives to </w:t>
      </w:r>
      <w:r w:rsidRPr="0066238E">
        <w:rPr>
          <w:highlight w:val="cyan"/>
        </w:rPr>
        <w:t>foster climate change mitigation and adaptation in agriculture</w:t>
      </w:r>
      <w:r w:rsidRPr="00D10852">
        <w:t xml:space="preserve">. It will in particular </w:t>
      </w:r>
      <w:r w:rsidRPr="0066238E">
        <w:rPr>
          <w:highlight w:val="cyan"/>
        </w:rPr>
        <w:t>support the Farm to Fork Strategy</w:t>
      </w:r>
      <w:r w:rsidRPr="00D10852">
        <w:t xml:space="preserve"> objective for a transition to a fair, healthy and resilient European agriculture. It will contribute to climate action on land and more specifically towards </w:t>
      </w:r>
      <w:r w:rsidRPr="0066238E">
        <w:rPr>
          <w:highlight w:val="cyan"/>
        </w:rPr>
        <w:t>climate neutrality</w:t>
      </w:r>
      <w:r w:rsidRPr="00D10852">
        <w:t xml:space="preserve"> by </w:t>
      </w:r>
      <w:r w:rsidRPr="0066238E">
        <w:rPr>
          <w:highlight w:val="yellow"/>
        </w:rPr>
        <w:t>reducing GHG emissions</w:t>
      </w:r>
      <w:r w:rsidRPr="00D10852">
        <w:t xml:space="preserve"> and </w:t>
      </w:r>
      <w:r w:rsidRPr="0066238E">
        <w:rPr>
          <w:highlight w:val="yellow"/>
        </w:rPr>
        <w:t>enhancing natural carbon sinks</w:t>
      </w:r>
      <w:r w:rsidRPr="00D10852">
        <w:t xml:space="preserve">: </w:t>
      </w:r>
      <w:r w:rsidRPr="0066238E">
        <w:rPr>
          <w:highlight w:val="yellow"/>
        </w:rPr>
        <w:t>better understanding and mobilising the mitigation and adaptation potential</w:t>
      </w:r>
      <w:r w:rsidRPr="00D10852">
        <w:t xml:space="preserve"> of </w:t>
      </w:r>
      <w:r w:rsidRPr="00680654">
        <w:rPr>
          <w:highlight w:val="green"/>
        </w:rPr>
        <w:t>livestock farming</w:t>
      </w:r>
      <w:r w:rsidRPr="00D10852">
        <w:t xml:space="preserve"> and </w:t>
      </w:r>
      <w:r w:rsidRPr="00680654">
        <w:rPr>
          <w:highlight w:val="green"/>
        </w:rPr>
        <w:t>related sectors</w:t>
      </w:r>
      <w:r w:rsidRPr="00D10852">
        <w:t xml:space="preserve"> based on the </w:t>
      </w:r>
      <w:r w:rsidRPr="0066238E">
        <w:rPr>
          <w:highlight w:val="yellow"/>
        </w:rPr>
        <w:t>sustainable management of natural resources</w:t>
      </w:r>
      <w:r w:rsidRPr="00D10852">
        <w:t xml:space="preserve">. </w:t>
      </w:r>
    </w:p>
    <w:p w:rsidR="00D10852" w:rsidRDefault="00D10852" w:rsidP="00D10852">
      <w:pPr>
        <w:rPr>
          <w:lang w:val="en-US"/>
        </w:rPr>
      </w:pPr>
    </w:p>
    <w:p w:rsidR="00D10852" w:rsidRPr="00D10852" w:rsidRDefault="00D10852" w:rsidP="00D10852">
      <w:r w:rsidRPr="00D10852">
        <w:t xml:space="preserve">The following outcomes are expected: </w:t>
      </w:r>
    </w:p>
    <w:p w:rsidR="00D10852" w:rsidRDefault="00D10852" w:rsidP="00D10852">
      <w:pPr>
        <w:rPr>
          <w:lang w:val="en-US"/>
        </w:rPr>
      </w:pPr>
    </w:p>
    <w:p w:rsidR="00D10852" w:rsidRPr="00D10852" w:rsidRDefault="0055413E" w:rsidP="00D10852">
      <w:pPr>
        <w:pStyle w:val="Listenabsatz"/>
        <w:numPr>
          <w:ilvl w:val="0"/>
          <w:numId w:val="5"/>
        </w:numPr>
      </w:pPr>
      <w:r>
        <w:rPr>
          <w:noProof/>
          <w:lang w:val="de-AT" w:eastAsia="de-AT"/>
        </w:rPr>
        <mc:AlternateContent>
          <mc:Choice Requires="wps">
            <w:drawing>
              <wp:anchor distT="0" distB="0" distL="114300" distR="114300" simplePos="0" relativeHeight="251667456" behindDoc="0" locked="0" layoutInCell="1" allowOverlap="1" wp14:anchorId="10C3AFCE" wp14:editId="3E3C1979">
                <wp:simplePos x="0" y="0"/>
                <wp:positionH relativeFrom="column">
                  <wp:posOffset>314325</wp:posOffset>
                </wp:positionH>
                <wp:positionV relativeFrom="paragraph">
                  <wp:posOffset>356235</wp:posOffset>
                </wp:positionV>
                <wp:extent cx="2543175" cy="161925"/>
                <wp:effectExtent l="0" t="0" r="28575" b="28575"/>
                <wp:wrapNone/>
                <wp:docPr id="6" name="Oval 6"/>
                <wp:cNvGraphicFramePr/>
                <a:graphic xmlns:a="http://schemas.openxmlformats.org/drawingml/2006/main">
                  <a:graphicData uri="http://schemas.microsoft.com/office/word/2010/wordprocessingShape">
                    <wps:wsp>
                      <wps:cNvSpPr/>
                      <wps:spPr>
                        <a:xfrm>
                          <a:off x="0" y="0"/>
                          <a:ext cx="2543175" cy="161925"/>
                        </a:xfrm>
                        <a:prstGeom prst="ellipse">
                          <a:avLst/>
                        </a:prstGeom>
                        <a:noFill/>
                        <a:ln>
                          <a:solidFill>
                            <a:srgbClr val="40ED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D7063F" id="Oval 6" o:spid="_x0000_s1026" style="position:absolute;margin-left:24.75pt;margin-top:28.05pt;width:200.25pt;height:12.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" filled="f" strokecolor="#40ed33" strokeweight="2pt"/>
            </w:pict>
          </mc:Fallback>
        </mc:AlternateContent>
      </w:r>
      <w:r w:rsidR="00D10852" w:rsidRPr="00D10852">
        <w:t xml:space="preserve">Enhanced </w:t>
      </w:r>
      <w:r w:rsidR="00D10852" w:rsidRPr="0066238E">
        <w:rPr>
          <w:highlight w:val="cyan"/>
        </w:rPr>
        <w:t xml:space="preserve">adoption by </w:t>
      </w:r>
      <w:r w:rsidR="00D10852" w:rsidRPr="00680654">
        <w:rPr>
          <w:highlight w:val="green"/>
        </w:rPr>
        <w:t>farmers</w:t>
      </w:r>
      <w:r w:rsidR="00D10852" w:rsidRPr="00D10852">
        <w:t xml:space="preserve"> and other </w:t>
      </w:r>
      <w:r w:rsidR="00D10852" w:rsidRPr="00680654">
        <w:rPr>
          <w:highlight w:val="green"/>
        </w:rPr>
        <w:t>relevant actors</w:t>
      </w:r>
      <w:r w:rsidR="00D10852" w:rsidRPr="00D10852">
        <w:t xml:space="preserve"> of </w:t>
      </w:r>
      <w:r w:rsidR="00D10852" w:rsidRPr="0066238E">
        <w:rPr>
          <w:highlight w:val="yellow"/>
        </w:rPr>
        <w:t>innovations</w:t>
      </w:r>
      <w:r w:rsidR="00D10852" w:rsidRPr="00D10852">
        <w:t xml:space="preserve"> that increase the mitigation and adaptation capacity of livestock farming systems to climate change, at </w:t>
      </w:r>
      <w:r w:rsidR="00D10852" w:rsidRPr="0066238E">
        <w:rPr>
          <w:highlight w:val="yellow"/>
        </w:rPr>
        <w:t>animal</w:t>
      </w:r>
      <w:r w:rsidR="00D10852" w:rsidRPr="00D10852">
        <w:t xml:space="preserve">, </w:t>
      </w:r>
      <w:r w:rsidR="00D10852" w:rsidRPr="0066238E">
        <w:rPr>
          <w:highlight w:val="yellow"/>
        </w:rPr>
        <w:t>population</w:t>
      </w:r>
      <w:r w:rsidR="00D10852" w:rsidRPr="00D10852">
        <w:t xml:space="preserve"> and </w:t>
      </w:r>
      <w:r w:rsidR="00D10852" w:rsidRPr="0066238E">
        <w:rPr>
          <w:highlight w:val="yellow"/>
        </w:rPr>
        <w:t>farm level</w:t>
      </w:r>
      <w:r w:rsidR="00D10852" w:rsidRPr="00D10852">
        <w:t xml:space="preserve">, therefore </w:t>
      </w:r>
      <w:r w:rsidR="00D10852" w:rsidRPr="0066238E">
        <w:rPr>
          <w:highlight w:val="cyan"/>
        </w:rPr>
        <w:t>improving the resilience of production systems as well as animal health and welfare</w:t>
      </w:r>
      <w:r w:rsidR="00D10852" w:rsidRPr="00D10852">
        <w:t xml:space="preserve">. </w:t>
      </w:r>
    </w:p>
    <w:p w:rsidR="00D10852" w:rsidRPr="00D10852" w:rsidRDefault="00D10852" w:rsidP="00D10852"/>
    <w:p w:rsidR="00D10852" w:rsidRPr="00D10852" w:rsidRDefault="00D10852" w:rsidP="00D10852">
      <w:pPr>
        <w:pStyle w:val="Listenabsatz"/>
        <w:numPr>
          <w:ilvl w:val="0"/>
          <w:numId w:val="5"/>
        </w:numPr>
      </w:pPr>
      <w:r w:rsidRPr="0066238E">
        <w:rPr>
          <w:highlight w:val="cyan"/>
        </w:rPr>
        <w:t>Improved capacity</w:t>
      </w:r>
      <w:r w:rsidRPr="00D10852">
        <w:t xml:space="preserve"> to </w:t>
      </w:r>
      <w:r w:rsidRPr="0066238E">
        <w:rPr>
          <w:highlight w:val="yellow"/>
        </w:rPr>
        <w:t>assess the environmental and socio-economic impact</w:t>
      </w:r>
      <w:r w:rsidRPr="00D10852">
        <w:t xml:space="preserve"> of mitigation and adaptation practices and options at different scales, </w:t>
      </w:r>
      <w:r w:rsidRPr="00CD46DB">
        <w:rPr>
          <w:highlight w:val="yellow"/>
        </w:rPr>
        <w:t>alone</w:t>
      </w:r>
      <w:r w:rsidRPr="00D10852">
        <w:t xml:space="preserve"> and in </w:t>
      </w:r>
      <w:r w:rsidRPr="00CD46DB">
        <w:rPr>
          <w:highlight w:val="yellow"/>
        </w:rPr>
        <w:t>combination</w:t>
      </w:r>
      <w:r w:rsidRPr="00D10852">
        <w:t xml:space="preserve">. </w:t>
      </w:r>
    </w:p>
    <w:p w:rsidR="00D10852" w:rsidRPr="00D10852" w:rsidRDefault="00D10852" w:rsidP="00D10852">
      <w:pPr>
        <w:pStyle w:val="Listenabsatz"/>
        <w:numPr>
          <w:ilvl w:val="0"/>
          <w:numId w:val="3"/>
        </w:numPr>
      </w:pPr>
      <w:r w:rsidRPr="00D10852">
        <w:t xml:space="preserve">Consolidated </w:t>
      </w:r>
      <w:r w:rsidRPr="00CD46DB">
        <w:rPr>
          <w:highlight w:val="cyan"/>
        </w:rPr>
        <w:t>transition towards a resilient livestock production</w:t>
      </w:r>
      <w:r w:rsidRPr="00D10852">
        <w:t xml:space="preserve"> with novel integrated approaches (in terms of </w:t>
      </w:r>
      <w:r w:rsidRPr="00CD46DB">
        <w:rPr>
          <w:highlight w:val="yellow"/>
        </w:rPr>
        <w:t>management</w:t>
      </w:r>
      <w:r w:rsidRPr="00D10852">
        <w:t xml:space="preserve">, </w:t>
      </w:r>
      <w:r w:rsidRPr="00CD46DB">
        <w:rPr>
          <w:highlight w:val="yellow"/>
        </w:rPr>
        <w:t>breeding</w:t>
      </w:r>
      <w:r w:rsidRPr="00D10852">
        <w:t xml:space="preserve">, </w:t>
      </w:r>
      <w:r w:rsidRPr="00CD46DB">
        <w:rPr>
          <w:highlight w:val="yellow"/>
        </w:rPr>
        <w:t>feeding</w:t>
      </w:r>
      <w:r w:rsidRPr="00D10852">
        <w:t xml:space="preserve">, </w:t>
      </w:r>
      <w:r w:rsidRPr="00CD46DB">
        <w:rPr>
          <w:highlight w:val="yellow"/>
        </w:rPr>
        <w:t>local resources use</w:t>
      </w:r>
      <w:r w:rsidRPr="00D10852">
        <w:t xml:space="preserve">, etc.) defined for different climate change scenarios </w:t>
      </w:r>
    </w:p>
    <w:p w:rsidR="00D10852" w:rsidRPr="00D10852" w:rsidRDefault="00D10852" w:rsidP="00D10852"/>
    <w:p w:rsidR="0066238E" w:rsidRDefault="0066238E">
      <w:pPr>
        <w:rPr>
          <w:b/>
        </w:rPr>
      </w:pPr>
      <w:r>
        <w:rPr>
          <w:b/>
        </w:rPr>
        <w:br w:type="page"/>
      </w:r>
    </w:p>
    <w:p w:rsidR="00680654" w:rsidRDefault="002B5AF6" w:rsidP="00680654">
      <w:pPr>
        <w:jc w:val="center"/>
        <w:rPr>
          <w:b/>
          <w:lang w:val="en-US"/>
        </w:rPr>
      </w:pPr>
      <w:r w:rsidRPr="002B5AF6">
        <w:rPr>
          <w:b/>
          <w:u w:val="single"/>
          <w:lang w:val="en-US"/>
        </w:rPr>
        <w:lastRenderedPageBreak/>
        <w:t>Color code</w:t>
      </w:r>
      <w:r w:rsidRPr="002B5AF6">
        <w:rPr>
          <w:b/>
          <w:lang w:val="en-US"/>
        </w:rPr>
        <w:t xml:space="preserve">: </w:t>
      </w:r>
      <w:r w:rsidRPr="002B5AF6">
        <w:rPr>
          <w:b/>
          <w:lang w:val="en-US"/>
        </w:rPr>
        <w:tab/>
      </w:r>
      <w:r w:rsidR="00680654" w:rsidRPr="0066238E">
        <w:rPr>
          <w:b/>
          <w:highlight w:val="yellow"/>
          <w:lang w:val="en-US"/>
        </w:rPr>
        <w:t>WORK</w:t>
      </w:r>
      <w:r w:rsidR="00680654" w:rsidRPr="0066238E">
        <w:rPr>
          <w:b/>
          <w:lang w:val="en-US"/>
        </w:rPr>
        <w:tab/>
      </w:r>
      <w:r w:rsidR="00680654" w:rsidRPr="0066238E">
        <w:rPr>
          <w:b/>
          <w:highlight w:val="green"/>
          <w:lang w:val="en-US"/>
        </w:rPr>
        <w:t>CONSORTIUM</w:t>
      </w:r>
      <w:r w:rsidR="00680654" w:rsidRPr="0066238E">
        <w:rPr>
          <w:b/>
          <w:lang w:val="en-US"/>
        </w:rPr>
        <w:tab/>
      </w:r>
      <w:r w:rsidR="00680654" w:rsidRPr="0066238E">
        <w:rPr>
          <w:b/>
          <w:highlight w:val="cyan"/>
          <w:lang w:val="en-US"/>
        </w:rPr>
        <w:t>IMPACT</w:t>
      </w:r>
    </w:p>
    <w:p w:rsidR="00680654" w:rsidRDefault="00680654" w:rsidP="00D10852">
      <w:pPr>
        <w:rPr>
          <w:b/>
          <w:lang w:val="en-US"/>
        </w:rPr>
      </w:pPr>
    </w:p>
    <w:p w:rsidR="00D10852" w:rsidRPr="00D10852" w:rsidRDefault="00834D3D" w:rsidP="00D10852">
      <w:r>
        <w:rPr>
          <w:noProof/>
          <w:lang w:val="de-AT" w:eastAsia="de-AT"/>
        </w:rPr>
        <mc:AlternateContent>
          <mc:Choice Requires="wps">
            <w:drawing>
              <wp:anchor distT="0" distB="0" distL="114300" distR="114300" simplePos="0" relativeHeight="251665408" behindDoc="0" locked="0" layoutInCell="1" allowOverlap="1" wp14:anchorId="087F19FE" wp14:editId="0F14D7C7">
                <wp:simplePos x="0" y="0"/>
                <wp:positionH relativeFrom="column">
                  <wp:posOffset>76200</wp:posOffset>
                </wp:positionH>
                <wp:positionV relativeFrom="paragraph">
                  <wp:posOffset>773430</wp:posOffset>
                </wp:positionV>
                <wp:extent cx="3714750" cy="323850"/>
                <wp:effectExtent l="0" t="0" r="19050" b="19050"/>
                <wp:wrapNone/>
                <wp:docPr id="4" name="Oval 4"/>
                <wp:cNvGraphicFramePr/>
                <a:graphic xmlns:a="http://schemas.openxmlformats.org/drawingml/2006/main">
                  <a:graphicData uri="http://schemas.microsoft.com/office/word/2010/wordprocessingShape">
                    <wps:wsp>
                      <wps:cNvSpPr/>
                      <wps:spPr>
                        <a:xfrm>
                          <a:off x="0" y="0"/>
                          <a:ext cx="3714750" cy="323850"/>
                        </a:xfrm>
                        <a:prstGeom prst="ellipse">
                          <a:avLst/>
                        </a:prstGeom>
                        <a:noFill/>
                        <a:ln>
                          <a:solidFill>
                            <a:srgbClr val="40ED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72C93F" id="Oval 4" o:spid="_x0000_s1026" style="position:absolute;margin-left:6pt;margin-top:60.9pt;width:29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" filled="f" strokecolor="#40ed33" strokeweight="2pt"/>
            </w:pict>
          </mc:Fallback>
        </mc:AlternateContent>
      </w:r>
      <w:r w:rsidR="00D10852" w:rsidRPr="00D10852">
        <w:rPr>
          <w:b/>
        </w:rPr>
        <w:t>Scope</w:t>
      </w:r>
      <w:r w:rsidR="00D10852" w:rsidRPr="00D10852">
        <w:t xml:space="preserve">: Terrestrial livestock production is considered a large contributor to anthropogenic GHG emissions worldwide. Although emission intensity in Europe is lower in comparison to many other regions of the world, </w:t>
      </w:r>
      <w:r w:rsidR="00D10852" w:rsidRPr="00680654">
        <w:rPr>
          <w:highlight w:val="yellow"/>
        </w:rPr>
        <w:t>options</w:t>
      </w:r>
      <w:r w:rsidR="00D10852" w:rsidRPr="00D10852">
        <w:t xml:space="preserve"> </w:t>
      </w:r>
      <w:r w:rsidR="00D10852" w:rsidRPr="00680654">
        <w:rPr>
          <w:highlight w:val="yellow"/>
        </w:rPr>
        <w:t>to better assess and improve the emissions balance</w:t>
      </w:r>
      <w:r w:rsidR="00D10852" w:rsidRPr="00D10852">
        <w:t xml:space="preserve"> of terrestrial livestock production, weather </w:t>
      </w:r>
      <w:r w:rsidR="00D10852" w:rsidRPr="00680654">
        <w:rPr>
          <w:highlight w:val="yellow"/>
        </w:rPr>
        <w:t>intensive</w:t>
      </w:r>
      <w:r w:rsidR="00D10852" w:rsidRPr="00D10852">
        <w:t xml:space="preserve"> or </w:t>
      </w:r>
      <w:r w:rsidR="00D10852" w:rsidRPr="00680654">
        <w:rPr>
          <w:highlight w:val="yellow"/>
        </w:rPr>
        <w:t>extensive/low</w:t>
      </w:r>
      <w:r w:rsidR="00D10852" w:rsidRPr="00D10852">
        <w:t xml:space="preserve"> input, including </w:t>
      </w:r>
      <w:r w:rsidR="00D10852" w:rsidRPr="00680654">
        <w:rPr>
          <w:highlight w:val="yellow"/>
        </w:rPr>
        <w:t>organic</w:t>
      </w:r>
      <w:r w:rsidR="00D10852" w:rsidRPr="00D10852">
        <w:t xml:space="preserve">, are necessary, including the evaluation of appropriate </w:t>
      </w:r>
      <w:r w:rsidR="00D10852" w:rsidRPr="00680654">
        <w:rPr>
          <w:highlight w:val="yellow"/>
        </w:rPr>
        <w:t>indicators</w:t>
      </w:r>
      <w:r w:rsidR="00D10852" w:rsidRPr="00D10852">
        <w:t xml:space="preserve"> of GHG emissions in </w:t>
      </w:r>
      <w:r w:rsidR="00D10852" w:rsidRPr="00680654">
        <w:rPr>
          <w:highlight w:val="yellow"/>
        </w:rPr>
        <w:t>different breeds</w:t>
      </w:r>
      <w:r w:rsidR="00D10852" w:rsidRPr="00D10852">
        <w:t xml:space="preserve">, </w:t>
      </w:r>
      <w:r w:rsidR="00D10852" w:rsidRPr="00680654">
        <w:rPr>
          <w:highlight w:val="yellow"/>
        </w:rPr>
        <w:t>environments</w:t>
      </w:r>
      <w:r w:rsidR="00D10852" w:rsidRPr="00D10852">
        <w:t xml:space="preserve"> and </w:t>
      </w:r>
      <w:r w:rsidR="00D10852" w:rsidRPr="00680654">
        <w:rPr>
          <w:highlight w:val="yellow"/>
        </w:rPr>
        <w:t>production systems</w:t>
      </w:r>
      <w:r w:rsidR="00D10852" w:rsidRPr="00D10852">
        <w:t xml:space="preserve">, in order not to rely solely on a reduction of the demand in food of animal origin to improve the emission balance of the sector. A variety of options have been identified, but are not yet common practice, and the </w:t>
      </w:r>
      <w:r w:rsidR="00D10852" w:rsidRPr="00680654">
        <w:rPr>
          <w:highlight w:val="cyan"/>
        </w:rPr>
        <w:t>potential of breeding to contribute to an improved GHG balance</w:t>
      </w:r>
      <w:r w:rsidR="00D10852" w:rsidRPr="00D10852">
        <w:t xml:space="preserve"> was not much investigated so far. In addition, the likelihood of further climate change occurring, and the increasing scale of potential climate impacts require addressing agricultural adaptation of the livestock sector as well. </w:t>
      </w:r>
    </w:p>
    <w:p w:rsidR="00D10852" w:rsidRDefault="00D10852" w:rsidP="00D10852">
      <w:pPr>
        <w:rPr>
          <w:lang w:val="en-US"/>
        </w:rPr>
      </w:pPr>
    </w:p>
    <w:p w:rsidR="00D10852" w:rsidRDefault="00834D3D" w:rsidP="00D10852">
      <w:pPr>
        <w:rPr>
          <w:b/>
          <w:bCs/>
          <w:i/>
          <w:iCs/>
          <w:lang w:val="en-US"/>
        </w:rPr>
      </w:pPr>
      <w:r>
        <w:rPr>
          <w:noProof/>
          <w:lang w:val="de-AT" w:eastAsia="de-AT"/>
        </w:rPr>
        <mc:AlternateContent>
          <mc:Choice Requires="wps">
            <w:drawing>
              <wp:anchor distT="0" distB="0" distL="114300" distR="114300" simplePos="0" relativeHeight="251663360" behindDoc="0" locked="0" layoutInCell="1" allowOverlap="1" wp14:anchorId="61096754" wp14:editId="40CDFAC0">
                <wp:simplePos x="0" y="0"/>
                <wp:positionH relativeFrom="column">
                  <wp:posOffset>409575</wp:posOffset>
                </wp:positionH>
                <wp:positionV relativeFrom="paragraph">
                  <wp:posOffset>2990850</wp:posOffset>
                </wp:positionV>
                <wp:extent cx="4429125" cy="581025"/>
                <wp:effectExtent l="0" t="0" r="28575" b="28575"/>
                <wp:wrapNone/>
                <wp:docPr id="3" name="Oval 3"/>
                <wp:cNvGraphicFramePr/>
                <a:graphic xmlns:a="http://schemas.openxmlformats.org/drawingml/2006/main">
                  <a:graphicData uri="http://schemas.microsoft.com/office/word/2010/wordprocessingShape">
                    <wps:wsp>
                      <wps:cNvSpPr/>
                      <wps:spPr>
                        <a:xfrm>
                          <a:off x="0" y="0"/>
                          <a:ext cx="4429125" cy="581025"/>
                        </a:xfrm>
                        <a:prstGeom prst="ellipse">
                          <a:avLst/>
                        </a:prstGeom>
                        <a:noFill/>
                        <a:ln>
                          <a:solidFill>
                            <a:srgbClr val="40ED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2021F334" id="Oval 3" o:spid="_x0000_s1026" style="position:absolute;margin-left:32.25pt;margin-top:235.5pt;width:348.75pt;height:45.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" filled="f" strokecolor="#40ed33" strokeweight="2pt"/>
            </w:pict>
          </mc:Fallback>
        </mc:AlternateContent>
      </w:r>
      <w:r>
        <w:rPr>
          <w:noProof/>
          <w:lang w:val="de-AT" w:eastAsia="de-AT"/>
        </w:rPr>
        <mc:AlternateContent>
          <mc:Choice Requires="wps">
            <w:drawing>
              <wp:anchor distT="0" distB="0" distL="114300" distR="114300" simplePos="0" relativeHeight="251661312" behindDoc="0" locked="0" layoutInCell="1" allowOverlap="1" wp14:anchorId="1781C01C" wp14:editId="67B3B023">
                <wp:simplePos x="0" y="0"/>
                <wp:positionH relativeFrom="column">
                  <wp:posOffset>2581275</wp:posOffset>
                </wp:positionH>
                <wp:positionV relativeFrom="paragraph">
                  <wp:posOffset>2105025</wp:posOffset>
                </wp:positionV>
                <wp:extent cx="1638300" cy="581025"/>
                <wp:effectExtent l="0" t="0" r="19050" b="28575"/>
                <wp:wrapNone/>
                <wp:docPr id="2" name="Oval 2"/>
                <wp:cNvGraphicFramePr/>
                <a:graphic xmlns:a="http://schemas.openxmlformats.org/drawingml/2006/main">
                  <a:graphicData uri="http://schemas.microsoft.com/office/word/2010/wordprocessingShape">
                    <wps:wsp>
                      <wps:cNvSpPr/>
                      <wps:spPr>
                        <a:xfrm>
                          <a:off x="0" y="0"/>
                          <a:ext cx="1638300" cy="581025"/>
                        </a:xfrm>
                        <a:prstGeom prst="ellipse">
                          <a:avLst/>
                        </a:prstGeom>
                        <a:noFill/>
                        <a:ln>
                          <a:solidFill>
                            <a:srgbClr val="40ED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025EC35" id="Oval 2" o:spid="_x0000_s1026" style="position:absolute;margin-left:203.25pt;margin-top:165.75pt;width:129pt;height:45.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" filled="f" strokecolor="#40ed33" strokeweight="2pt"/>
            </w:pict>
          </mc:Fallback>
        </mc:AlternateContent>
      </w:r>
      <w:r>
        <w:rPr>
          <w:noProof/>
          <w:lang w:val="de-AT" w:eastAsia="de-AT"/>
        </w:rPr>
        <mc:AlternateContent>
          <mc:Choice Requires="wps">
            <w:drawing>
              <wp:anchor distT="0" distB="0" distL="114300" distR="114300" simplePos="0" relativeHeight="251659264" behindDoc="0" locked="0" layoutInCell="1" allowOverlap="1" wp14:anchorId="3330B3B2" wp14:editId="6E6A79DF">
                <wp:simplePos x="0" y="0"/>
                <wp:positionH relativeFrom="column">
                  <wp:posOffset>1200150</wp:posOffset>
                </wp:positionH>
                <wp:positionV relativeFrom="paragraph">
                  <wp:posOffset>2295525</wp:posOffset>
                </wp:positionV>
                <wp:extent cx="1638300" cy="581025"/>
                <wp:effectExtent l="0" t="0" r="19050" b="28575"/>
                <wp:wrapNone/>
                <wp:docPr id="1" name="Oval 1"/>
                <wp:cNvGraphicFramePr/>
                <a:graphic xmlns:a="http://schemas.openxmlformats.org/drawingml/2006/main">
                  <a:graphicData uri="http://schemas.microsoft.com/office/word/2010/wordprocessingShape">
                    <wps:wsp>
                      <wps:cNvSpPr/>
                      <wps:spPr>
                        <a:xfrm>
                          <a:off x="0" y="0"/>
                          <a:ext cx="1638300" cy="581025"/>
                        </a:xfrm>
                        <a:prstGeom prst="ellipse">
                          <a:avLst/>
                        </a:prstGeom>
                        <a:noFill/>
                        <a:ln>
                          <a:solidFill>
                            <a:srgbClr val="40ED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085AEFA" id="Oval 1" o:spid="_x0000_s1026" style="position:absolute;margin-left:94.5pt;margin-top:180.75pt;width:129pt;height:45.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" filled="f" strokecolor="#40ed33" strokeweight="2pt"/>
            </w:pict>
          </mc:Fallback>
        </mc:AlternateContent>
      </w:r>
      <w:r w:rsidR="00D10852" w:rsidRPr="00D10852">
        <w:t xml:space="preserve">The proposals should </w:t>
      </w:r>
      <w:r w:rsidR="00D10852" w:rsidRPr="00680654">
        <w:rPr>
          <w:highlight w:val="yellow"/>
        </w:rPr>
        <w:t>investigate</w:t>
      </w:r>
      <w:r w:rsidR="00D10852" w:rsidRPr="00D10852">
        <w:t xml:space="preserve"> at different levels (</w:t>
      </w:r>
      <w:r w:rsidR="00D10852" w:rsidRPr="00680654">
        <w:rPr>
          <w:highlight w:val="yellow"/>
        </w:rPr>
        <w:t>animal, herd, farm and sector, region</w:t>
      </w:r>
      <w:r w:rsidR="00D10852" w:rsidRPr="00D10852">
        <w:t xml:space="preserve">) and with a coherent approach, practices and innovations that </w:t>
      </w:r>
      <w:r w:rsidR="00D10852" w:rsidRPr="00680654">
        <w:rPr>
          <w:highlight w:val="cyan"/>
        </w:rPr>
        <w:t>enable a reduction of the net GHG emissions</w:t>
      </w:r>
      <w:r w:rsidR="00D10852" w:rsidRPr="00D10852">
        <w:t xml:space="preserve"> by terrestrial livestock, while striving to ensure farm viability and resilience of productions systems, including adaption to climate change, and taking into account the impact on the environment and biodiversity. </w:t>
      </w:r>
      <w:r w:rsidR="00D10852" w:rsidRPr="00834D3D">
        <w:rPr>
          <w:highlight w:val="yellow"/>
        </w:rPr>
        <w:t>Trade-offs within and between the different levels</w:t>
      </w:r>
      <w:r w:rsidR="00D10852" w:rsidRPr="00D10852">
        <w:t xml:space="preserve"> should be addressed. At animal level, the research should use </w:t>
      </w:r>
      <w:r w:rsidR="00D10852" w:rsidRPr="00834D3D">
        <w:rPr>
          <w:highlight w:val="yellow"/>
        </w:rPr>
        <w:t>systems biology</w:t>
      </w:r>
      <w:r w:rsidR="00D10852" w:rsidRPr="00D10852">
        <w:t xml:space="preserve"> to study </w:t>
      </w:r>
      <w:r w:rsidR="00D10852" w:rsidRPr="00834D3D">
        <w:rPr>
          <w:highlight w:val="yellow"/>
        </w:rPr>
        <w:t>interactions between host and environment</w:t>
      </w:r>
      <w:r w:rsidR="00D10852" w:rsidRPr="00D10852">
        <w:t xml:space="preserve"> (e.g. </w:t>
      </w:r>
      <w:r w:rsidR="00D10852" w:rsidRPr="00834D3D">
        <w:rPr>
          <w:highlight w:val="yellow"/>
        </w:rPr>
        <w:t>feed and microbes</w:t>
      </w:r>
      <w:r w:rsidR="00D10852" w:rsidRPr="00D10852">
        <w:t>) and how this interplay affects the efficiency of feed utilisation (</w:t>
      </w:r>
      <w:r w:rsidR="00D10852" w:rsidRPr="00834D3D">
        <w:rPr>
          <w:highlight w:val="yellow"/>
        </w:rPr>
        <w:t>energy and proteins</w:t>
      </w:r>
      <w:r w:rsidR="00D10852" w:rsidRPr="00D10852">
        <w:t xml:space="preserve">) and GHG emissions, not least methane. Proposals will </w:t>
      </w:r>
      <w:r w:rsidR="00D10852" w:rsidRPr="00834D3D">
        <w:rPr>
          <w:highlight w:val="yellow"/>
        </w:rPr>
        <w:t>define and investigate traits/phenotypes</w:t>
      </w:r>
      <w:r w:rsidR="00D10852" w:rsidRPr="00D10852">
        <w:t xml:space="preserve">, and the </w:t>
      </w:r>
      <w:r w:rsidR="00D10852" w:rsidRPr="00834D3D">
        <w:rPr>
          <w:highlight w:val="yellow"/>
        </w:rPr>
        <w:t>potential of breeding</w:t>
      </w:r>
      <w:r w:rsidR="00D10852" w:rsidRPr="00D10852">
        <w:t xml:space="preserve">, to reduce GHG animal emissions or/and adapt to climate change. At </w:t>
      </w:r>
      <w:r w:rsidR="00D10852" w:rsidRPr="00A66EE4">
        <w:rPr>
          <w:highlight w:val="green"/>
        </w:rPr>
        <w:t>farm level</w:t>
      </w:r>
      <w:r w:rsidR="00D10852" w:rsidRPr="00D10852">
        <w:t xml:space="preserve">, different </w:t>
      </w:r>
      <w:r w:rsidR="00D10852" w:rsidRPr="00834D3D">
        <w:rPr>
          <w:highlight w:val="yellow"/>
        </w:rPr>
        <w:t>husbandry practices</w:t>
      </w:r>
      <w:r w:rsidR="00D10852" w:rsidRPr="00D10852">
        <w:t xml:space="preserve"> should be addressed. At </w:t>
      </w:r>
      <w:r w:rsidR="00D10852" w:rsidRPr="00A66EE4">
        <w:rPr>
          <w:highlight w:val="green"/>
        </w:rPr>
        <w:t>sector/regional level</w:t>
      </w:r>
      <w:r w:rsidR="00D10852" w:rsidRPr="00D10852">
        <w:t xml:space="preserve">, a </w:t>
      </w:r>
      <w:r w:rsidR="00D10852" w:rsidRPr="00834D3D">
        <w:rPr>
          <w:highlight w:val="yellow"/>
        </w:rPr>
        <w:t>system approach should investigate</w:t>
      </w:r>
      <w:r w:rsidR="00D10852" w:rsidRPr="00D10852">
        <w:t xml:space="preserve"> how different actors can cooperate to improve the GHG balance of livestock production, </w:t>
      </w:r>
      <w:r w:rsidR="00D10852" w:rsidRPr="00834D3D">
        <w:rPr>
          <w:highlight w:val="cyan"/>
        </w:rPr>
        <w:t>optimising the use of resources</w:t>
      </w:r>
      <w:r w:rsidR="00D10852" w:rsidRPr="00D10852">
        <w:t xml:space="preserve">, including feed (e.g. production and origin), </w:t>
      </w:r>
      <w:r w:rsidR="00D10852" w:rsidRPr="00834D3D">
        <w:rPr>
          <w:highlight w:val="cyan"/>
        </w:rPr>
        <w:t>improving circularity</w:t>
      </w:r>
      <w:r w:rsidR="00D10852" w:rsidRPr="00D10852">
        <w:t xml:space="preserve">. In addition to </w:t>
      </w:r>
      <w:r w:rsidR="00D10852" w:rsidRPr="00834D3D">
        <w:rPr>
          <w:highlight w:val="yellow"/>
        </w:rPr>
        <w:t>biophysical research</w:t>
      </w:r>
      <w:r w:rsidR="00D10852" w:rsidRPr="00D10852">
        <w:t xml:space="preserve">, the proposals should address the potential </w:t>
      </w:r>
      <w:r w:rsidR="00D10852" w:rsidRPr="00834D3D">
        <w:rPr>
          <w:highlight w:val="yellow"/>
        </w:rPr>
        <w:t>socio-economic impact</w:t>
      </w:r>
      <w:r w:rsidR="00D10852" w:rsidRPr="00D10852">
        <w:t xml:space="preserve"> of the proposed practices and innovations, and look at options to facilitate their uptake. Proposals should </w:t>
      </w:r>
      <w:r w:rsidR="00D10852" w:rsidRPr="00834D3D">
        <w:rPr>
          <w:highlight w:val="yellow"/>
        </w:rPr>
        <w:t>develop or refine related tools</w:t>
      </w:r>
      <w:r w:rsidR="00D10852" w:rsidRPr="00D10852">
        <w:t xml:space="preserve"> for a proper assessment of practices and proposed innovations. Proposals should take into account </w:t>
      </w:r>
      <w:r w:rsidR="00D10852" w:rsidRPr="00834D3D">
        <w:rPr>
          <w:highlight w:val="yellow"/>
        </w:rPr>
        <w:t>novel farming systems</w:t>
      </w:r>
      <w:r w:rsidR="00D10852" w:rsidRPr="00D10852">
        <w:t xml:space="preserve"> and future scenarios, </w:t>
      </w:r>
      <w:r w:rsidR="00D10852" w:rsidRPr="00834D3D">
        <w:rPr>
          <w:highlight w:val="yellow"/>
        </w:rPr>
        <w:t>different breeds</w:t>
      </w:r>
      <w:r w:rsidR="00D10852" w:rsidRPr="00D10852">
        <w:t xml:space="preserve">, particularly local breeds, various </w:t>
      </w:r>
      <w:r w:rsidR="00D10852" w:rsidRPr="00834D3D">
        <w:rPr>
          <w:highlight w:val="yellow"/>
        </w:rPr>
        <w:t>management approaches</w:t>
      </w:r>
      <w:r w:rsidR="00D10852" w:rsidRPr="00D10852">
        <w:t xml:space="preserve">, </w:t>
      </w:r>
      <w:r w:rsidR="00D10852" w:rsidRPr="00834D3D">
        <w:rPr>
          <w:highlight w:val="yellow"/>
        </w:rPr>
        <w:t>climatic conditions</w:t>
      </w:r>
      <w:r w:rsidR="00D10852" w:rsidRPr="00D10852">
        <w:t xml:space="preserve"> and </w:t>
      </w:r>
      <w:r w:rsidR="00D10852" w:rsidRPr="00834D3D">
        <w:rPr>
          <w:highlight w:val="yellow"/>
        </w:rPr>
        <w:t>regional specificities</w:t>
      </w:r>
      <w:r w:rsidR="00D10852" w:rsidRPr="00D10852">
        <w:t xml:space="preserve">. Proposals should address at least </w:t>
      </w:r>
      <w:r w:rsidR="00D10852" w:rsidRPr="00834D3D">
        <w:rPr>
          <w:highlight w:val="yellow"/>
        </w:rPr>
        <w:t>cattle and pigs</w:t>
      </w:r>
      <w:r w:rsidR="00D10852" w:rsidRPr="00D10852">
        <w:t xml:space="preserve"> and may address any other relevant species. </w:t>
      </w:r>
    </w:p>
    <w:p w:rsidR="00D10852" w:rsidRPr="00D10852" w:rsidRDefault="00D10852" w:rsidP="00D10852">
      <w:pPr>
        <w:rPr>
          <w:b/>
          <w:bCs/>
          <w:i/>
          <w:iCs/>
          <w:lang w:val="en-US"/>
        </w:rPr>
      </w:pPr>
    </w:p>
    <w:p w:rsidR="00D10852" w:rsidRPr="00D10852" w:rsidRDefault="00D10852" w:rsidP="00D10852">
      <w:r w:rsidRPr="00D10852">
        <w:t xml:space="preserve">Proposals should fall under the concept of the </w:t>
      </w:r>
      <w:r w:rsidRPr="00834D3D">
        <w:rPr>
          <w:highlight w:val="green"/>
        </w:rPr>
        <w:t>'multi-actor approach’</w:t>
      </w:r>
      <w:r w:rsidR="00834D3D">
        <w:rPr>
          <w:lang w:val="en-US"/>
        </w:rPr>
        <w:t xml:space="preserve"> </w:t>
      </w:r>
      <w:r w:rsidRPr="00D10852">
        <w:t xml:space="preserve">and ensure adequate involvement of the </w:t>
      </w:r>
      <w:r w:rsidRPr="00834D3D">
        <w:rPr>
          <w:highlight w:val="green"/>
        </w:rPr>
        <w:t>farming sector</w:t>
      </w:r>
      <w:r w:rsidRPr="00D10852">
        <w:t xml:space="preserve">, </w:t>
      </w:r>
      <w:r w:rsidRPr="00834D3D">
        <w:rPr>
          <w:highlight w:val="green"/>
        </w:rPr>
        <w:t>terrestrial livestock breeders</w:t>
      </w:r>
      <w:r w:rsidRPr="00D10852">
        <w:t xml:space="preserve">, </w:t>
      </w:r>
      <w:r w:rsidRPr="00834D3D">
        <w:rPr>
          <w:highlight w:val="green"/>
        </w:rPr>
        <w:t>advisers</w:t>
      </w:r>
      <w:r w:rsidRPr="00D10852">
        <w:t xml:space="preserve"> and other relevant actors. </w:t>
      </w:r>
    </w:p>
    <w:p w:rsidR="00D10852" w:rsidRPr="00D10852" w:rsidRDefault="002B5AF6" w:rsidP="00D10852">
      <w:pPr>
        <w:rPr>
          <w:lang w:val="en-US"/>
        </w:rPr>
      </w:pPr>
      <w:r>
        <w:rPr>
          <w:noProof/>
          <w:lang w:val="de-AT" w:eastAsia="de-AT"/>
        </w:rPr>
        <mc:AlternateContent>
          <mc:Choice Requires="wps">
            <w:drawing>
              <wp:anchor distT="0" distB="0" distL="114300" distR="114300" simplePos="0" relativeHeight="251669504" behindDoc="0" locked="0" layoutInCell="1" allowOverlap="1" wp14:anchorId="045F8483" wp14:editId="5F6B4FE2">
                <wp:simplePos x="0" y="0"/>
                <wp:positionH relativeFrom="column">
                  <wp:posOffset>-104775</wp:posOffset>
                </wp:positionH>
                <wp:positionV relativeFrom="paragraph">
                  <wp:posOffset>137795</wp:posOffset>
                </wp:positionV>
                <wp:extent cx="3714750" cy="323850"/>
                <wp:effectExtent l="0" t="0" r="19050" b="19050"/>
                <wp:wrapNone/>
                <wp:docPr id="7" name="Oval 7"/>
                <wp:cNvGraphicFramePr/>
                <a:graphic xmlns:a="http://schemas.openxmlformats.org/drawingml/2006/main">
                  <a:graphicData uri="http://schemas.microsoft.com/office/word/2010/wordprocessingShape">
                    <wps:wsp>
                      <wps:cNvSpPr/>
                      <wps:spPr>
                        <a:xfrm>
                          <a:off x="0" y="0"/>
                          <a:ext cx="3714750" cy="323850"/>
                        </a:xfrm>
                        <a:prstGeom prst="ellipse">
                          <a:avLst/>
                        </a:prstGeom>
                        <a:noFill/>
                        <a:ln>
                          <a:solidFill>
                            <a:srgbClr val="40ED33"/>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FCA2733" id="Oval 7" o:spid="_x0000_s1026" style="position:absolute;margin-left:-8.25pt;margin-top:10.85pt;width:292.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" filled="f" strokecolor="#40ed33" strokeweight="2pt"/>
            </w:pict>
          </mc:Fallback>
        </mc:AlternateContent>
      </w:r>
      <w:r w:rsidR="00D10852" w:rsidRPr="00D10852">
        <w:t>The proposals should take into account other EU-funded projects, including those funded under the ERA-NETs SusAn</w:t>
      </w:r>
      <w:r w:rsidR="00834D3D">
        <w:rPr>
          <w:lang w:val="en-US"/>
        </w:rPr>
        <w:t xml:space="preserve"> </w:t>
      </w:r>
      <w:r w:rsidR="00D10852" w:rsidRPr="00D10852">
        <w:t xml:space="preserve"> and ERA-GAS</w:t>
      </w:r>
      <w:r w:rsidR="00834D3D">
        <w:rPr>
          <w:lang w:val="en-US"/>
        </w:rPr>
        <w:t xml:space="preserve"> </w:t>
      </w:r>
      <w:r w:rsidR="00D10852" w:rsidRPr="00D10852">
        <w:t>.</w:t>
      </w:r>
    </w:p>
    <w:sectPr w:rsidR="00D10852" w:rsidRPr="00D108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EB2877"/>
    <w:multiLevelType w:val="hybridMultilevel"/>
    <w:tmpl w:val="AFE6F81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6CB540"/>
    <w:multiLevelType w:val="hybridMultilevel"/>
    <w:tmpl w:val="FF0AF7F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52A3CC8"/>
    <w:multiLevelType w:val="hybridMultilevel"/>
    <w:tmpl w:val="1A3817D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4E8A387C"/>
    <w:multiLevelType w:val="hybridMultilevel"/>
    <w:tmpl w:val="0CEAF27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6B7C64"/>
    <w:multiLevelType w:val="hybridMultilevel"/>
    <w:tmpl w:val="D91C889A"/>
    <w:lvl w:ilvl="0" w:tplc="B9EAEA7A">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852"/>
    <w:rsid w:val="000D4BA0"/>
    <w:rsid w:val="00216C8A"/>
    <w:rsid w:val="002B5AF6"/>
    <w:rsid w:val="002B732F"/>
    <w:rsid w:val="0055413E"/>
    <w:rsid w:val="00567A8C"/>
    <w:rsid w:val="0066238E"/>
    <w:rsid w:val="00680654"/>
    <w:rsid w:val="00753AD4"/>
    <w:rsid w:val="00834D3D"/>
    <w:rsid w:val="00A66EE4"/>
    <w:rsid w:val="00C34BB9"/>
    <w:rsid w:val="00C9470F"/>
    <w:rsid w:val="00CD46DB"/>
    <w:rsid w:val="00D1085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8CBFE"/>
  <w15:docId w15:val="{0FED646F-4489-4826-8B7F-504785FAA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l-G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470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108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712</Words>
  <Characters>4487</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dc:creator>
  <cp:lastModifiedBy>spiesberger</cp:lastModifiedBy>
  <cp:revision>2</cp:revision>
  <dcterms:created xsi:type="dcterms:W3CDTF">2023-01-30T22:52:00Z</dcterms:created>
  <dcterms:modified xsi:type="dcterms:W3CDTF">2023-01-30T22:52:00Z</dcterms:modified>
</cp:coreProperties>
</file>